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/>
    <w:p/>
    <w:p/>
    <w:p/>
    <w:p/>
    <w:p/>
    <w:p>
      <w:pPr>
        <w:jc w:val="center"/>
      </w:pPr>
      <w:r>
        <w:rPr>
          <w:rFonts w:ascii="Times New Roman" w:hAnsi="Times New Roman"/>
          <w:b w:val="0"/>
          <w:i w:val="0"/>
          <w:color w:val="1A2744"/>
          <w:sz w:val="60"/>
        </w:rPr>
        <w:t>PRÉ-ÉTAT DATÉ</w:t>
      </w:r>
    </w:p>
    <w:p>
      <w:pPr>
        <w:spacing w:after="480"/>
        <w:jc w:val="center"/>
      </w:pPr>
      <w:r>
        <w:rPr>
          <w:rFonts w:ascii="Arial" w:hAnsi="Arial"/>
          <w:b w:val="0"/>
          <w:i w:val="0"/>
          <w:color w:val="5B6474"/>
          <w:sz w:val="22"/>
        </w:rPr>
        <w:t>Modèle vierge à compléter, conforme à l'article L721-2 du CCH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6" w:color="D8DDE5"/>
          <w:left w:val="single" w:sz="6" w:color="D8DDE5"/>
          <w:bottom w:val="single" w:sz="6" w:color="D8DDE5"/>
          <w:right w:val="single" w:sz="6" w:color="D8DDE5"/>
          <w:insideH w:val="single" w:sz="6" w:color="D8DDE5"/>
          <w:insideV w:val="single" w:sz="6" w:color="D8DDE5"/>
        </w:tblBorders>
      </w:tblPr>
      <w:tblGrid>
        <w:gridCol w:w="5100"/>
        <w:gridCol w:w="5100"/>
      </w:tblGrid>
      <w:tr>
        <w:tc>
          <w:tcPr>
            <w:tcW w:type="dxa" w:w="2608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Copropriété :</w:t>
            </w:r>
          </w:p>
        </w:tc>
        <w:tc>
          <w:tcPr>
            <w:tcW w:type="dxa" w:w="6236"/>
          </w:tcPr>
          <w:p>
            <w:pPr>
              <w:spacing w:after="40"/>
            </w:pPr>
          </w:p>
        </w:tc>
      </w:tr>
      <w:tr>
        <w:tc>
          <w:tcPr>
            <w:tcW w:type="dxa" w:w="2608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Lot(s) concerné(s) :</w:t>
            </w:r>
          </w:p>
        </w:tc>
        <w:tc>
          <w:tcPr>
            <w:tcW w:type="dxa" w:w="6236"/>
          </w:tcPr>
          <w:p>
            <w:pPr>
              <w:spacing w:after="40"/>
            </w:pPr>
          </w:p>
        </w:tc>
      </w:tr>
      <w:tr>
        <w:tc>
          <w:tcPr>
            <w:tcW w:type="dxa" w:w="2608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Vendeur :</w:t>
            </w:r>
          </w:p>
        </w:tc>
        <w:tc>
          <w:tcPr>
            <w:tcW w:type="dxa" w:w="6236"/>
          </w:tcPr>
          <w:p>
            <w:pPr>
              <w:spacing w:after="40"/>
            </w:pPr>
          </w:p>
        </w:tc>
      </w:tr>
      <w:tr>
        <w:tc>
          <w:tcPr>
            <w:tcW w:type="dxa" w:w="2608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Date d'établissement :</w:t>
            </w:r>
          </w:p>
        </w:tc>
        <w:tc>
          <w:tcPr>
            <w:tcW w:type="dxa" w:w="6236"/>
          </w:tcPr>
          <w:p>
            <w:pPr>
              <w:spacing w:after="40"/>
            </w:pPr>
          </w:p>
        </w:tc>
      </w:tr>
    </w:tbl>
    <w:p/>
    <w:p/>
    <w:p/>
    <w:p>
      <w:pPr>
        <w:jc w:val="center"/>
      </w:pPr>
      <w:r>
        <w:rPr>
          <w:rFonts w:ascii="Arial" w:hAnsi="Arial"/>
          <w:b w:val="0"/>
          <w:i w:val="0"/>
          <w:color w:val="8A94A6"/>
          <w:sz w:val="17"/>
        </w:rPr>
        <w:t>Modèle gratuit proposé par Datimmo · datimmo.net</w:t>
      </w:r>
    </w:p>
    <w:p>
      <w:pPr>
        <w:jc w:val="center"/>
      </w:pPr>
      <w:r>
        <w:rPr>
          <w:rFonts w:ascii="Arial" w:hAnsi="Arial"/>
          <w:b w:val="0"/>
          <w:i w:val="0"/>
          <w:color w:val="8A94A6"/>
          <w:sz w:val="17"/>
        </w:rPr>
        <w:t>Document informatif : à compléter avec les pièces de votre syndic avant remise à l'acquéreur.</w:t>
      </w:r>
    </w:p>
    <w:p>
      <w:r>
        <w:br w:type="page"/>
      </w:r>
    </w:p>
    <w:p>
      <w:pPr>
        <w:spacing w:after="200"/>
      </w:pPr>
      <w:r>
        <w:rPr>
          <w:rFonts w:ascii="Arial" w:hAnsi="Arial"/>
          <w:b/>
          <w:i w:val="0"/>
          <w:color w:val="1A2744"/>
          <w:sz w:val="18"/>
        </w:rPr>
        <w:t>PRÉ-ÉTAT DATÉ · MODÈLE À COMPLÉTER</w:t>
      </w:r>
      <w:r>
        <w:rPr>
          <w:rFonts w:ascii="Arial" w:hAnsi="Arial"/>
          <w:b w:val="0"/>
          <w:i w:val="0"/>
          <w:color w:val="8A94A6"/>
          <w:sz w:val="16"/>
        </w:rPr>
        <w:t xml:space="preserve">          Art. L721-2 CCH</w:t>
      </w:r>
    </w:p>
    <w:p>
      <w:pPr>
        <w:spacing w:before="320" w:after="40"/>
      </w:pPr>
      <w:r>
        <w:rPr>
          <w:rFonts w:ascii="Arial" w:hAnsi="Arial"/>
          <w:b/>
          <w:i w:val="0"/>
          <w:color w:val="3B5EE8"/>
          <w:sz w:val="22"/>
        </w:rPr>
        <w:t xml:space="preserve">1.  </w:t>
      </w:r>
      <w:r>
        <w:rPr>
          <w:rFonts w:ascii="Arial" w:hAnsi="Arial"/>
          <w:b/>
          <w:i w:val="0"/>
          <w:color w:val="1A2744"/>
          <w:sz w:val="22"/>
        </w:rPr>
        <w:t>Identification</w:t>
      </w:r>
    </w:p>
    <w:p>
      <w:pPr>
        <w:spacing w:after="120"/>
      </w:pPr>
      <w:r>
        <w:rPr>
          <w:rFonts w:ascii="Arial" w:hAnsi="Arial"/>
          <w:b w:val="0"/>
          <w:i/>
          <w:color w:val="5B6474"/>
          <w:sz w:val="16"/>
        </w:rPr>
        <w:t>Informations figurant sur vos appels de charges et le règlement de copropriété.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6" w:color="D8DDE5"/>
          <w:left w:val="single" w:sz="6" w:color="D8DDE5"/>
          <w:bottom w:val="single" w:sz="6" w:color="D8DDE5"/>
          <w:right w:val="single" w:sz="6" w:color="D8DDE5"/>
          <w:insideH w:val="single" w:sz="6" w:color="D8DDE5"/>
          <w:insideV w:val="single" w:sz="6" w:color="D8DDE5"/>
        </w:tblBorders>
      </w:tblPr>
      <w:tblGrid>
        <w:gridCol w:w="5100"/>
        <w:gridCol w:w="5100"/>
      </w:tblGrid>
      <w:tr>
        <w:tc>
          <w:tcPr>
            <w:tcW w:type="dxa" w:w="3628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Nom de la copropriété / résidence :</w:t>
            </w:r>
          </w:p>
        </w:tc>
        <w:tc>
          <w:tcPr>
            <w:tcW w:type="dxa" w:w="6236"/>
          </w:tcPr>
          <w:p>
            <w:pPr>
              <w:spacing w:after="40"/>
            </w:pPr>
          </w:p>
        </w:tc>
      </w:tr>
      <w:tr>
        <w:tc>
          <w:tcPr>
            <w:tcW w:type="dxa" w:w="3628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Adresse de l'immeuble :</w:t>
            </w:r>
          </w:p>
        </w:tc>
        <w:tc>
          <w:tcPr>
            <w:tcW w:type="dxa" w:w="6236"/>
          </w:tcPr>
          <w:p>
            <w:pPr>
              <w:spacing w:after="40"/>
            </w:pPr>
          </w:p>
        </w:tc>
      </w:tr>
      <w:tr>
        <w:tc>
          <w:tcPr>
            <w:tcW w:type="dxa" w:w="3628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Syndic (nom et adresse) :</w:t>
            </w:r>
          </w:p>
        </w:tc>
        <w:tc>
          <w:tcPr>
            <w:tcW w:type="dxa" w:w="6236"/>
          </w:tcPr>
          <w:p>
            <w:pPr>
              <w:spacing w:after="40"/>
            </w:pPr>
          </w:p>
        </w:tc>
      </w:tr>
      <w:tr>
        <w:tc>
          <w:tcPr>
            <w:tcW w:type="dxa" w:w="3628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Vendeur (nom, prénom) :</w:t>
            </w:r>
          </w:p>
        </w:tc>
        <w:tc>
          <w:tcPr>
            <w:tcW w:type="dxa" w:w="6236"/>
          </w:tcPr>
          <w:p>
            <w:pPr>
              <w:spacing w:after="40"/>
            </w:pPr>
          </w:p>
        </w:tc>
      </w:tr>
      <w:tr>
        <w:tc>
          <w:tcPr>
            <w:tcW w:type="dxa" w:w="3628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Adresse du vendeur :</w:t>
            </w:r>
          </w:p>
        </w:tc>
        <w:tc>
          <w:tcPr>
            <w:tcW w:type="dxa" w:w="6236"/>
          </w:tcPr>
          <w:p>
            <w:pPr>
              <w:spacing w:after="40"/>
            </w:pPr>
          </w:p>
        </w:tc>
      </w:tr>
      <w:tr>
        <w:tc>
          <w:tcPr>
            <w:tcW w:type="dxa" w:w="3628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Numéros et types de lots vendus :</w:t>
            </w:r>
          </w:p>
        </w:tc>
        <w:tc>
          <w:tcPr>
            <w:tcW w:type="dxa" w:w="6236"/>
          </w:tcPr>
          <w:p>
            <w:pPr>
              <w:spacing w:after="40"/>
            </w:pPr>
          </w:p>
        </w:tc>
      </w:tr>
      <w:tr>
        <w:tc>
          <w:tcPr>
            <w:tcW w:type="dxa" w:w="3628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Tantièmes / quote-part des parties communes :</w:t>
            </w:r>
          </w:p>
        </w:tc>
        <w:tc>
          <w:tcPr>
            <w:tcW w:type="dxa" w:w="6236"/>
          </w:tcPr>
          <w:p>
            <w:pPr>
              <w:spacing w:after="40"/>
            </w:pPr>
          </w:p>
        </w:tc>
      </w:tr>
    </w:tbl>
    <w:p>
      <w:pPr>
        <w:spacing w:before="320" w:after="40"/>
      </w:pPr>
      <w:r>
        <w:rPr>
          <w:rFonts w:ascii="Arial" w:hAnsi="Arial"/>
          <w:b/>
          <w:i w:val="0"/>
          <w:color w:val="3B5EE8"/>
          <w:sz w:val="22"/>
        </w:rPr>
        <w:t xml:space="preserve">2.  </w:t>
      </w:r>
      <w:r>
        <w:rPr>
          <w:rFonts w:ascii="Arial" w:hAnsi="Arial"/>
          <w:b/>
          <w:i w:val="0"/>
          <w:color w:val="1A2744"/>
          <w:sz w:val="22"/>
        </w:rPr>
        <w:t>Quote-parts de charges du lot</w:t>
      </w:r>
    </w:p>
    <w:p>
      <w:pPr>
        <w:spacing w:after="120"/>
      </w:pPr>
      <w:r>
        <w:rPr>
          <w:rFonts w:ascii="Arial" w:hAnsi="Arial"/>
          <w:b w:val="0"/>
          <w:i/>
          <w:color w:val="5B6474"/>
          <w:sz w:val="16"/>
        </w:rPr>
        <w:t>Montants des deux derniers exercices clos : voir vos appels de charges et régularisations.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6" w:color="D8DDE5"/>
          <w:left w:val="single" w:sz="6" w:color="D8DDE5"/>
          <w:bottom w:val="single" w:sz="6" w:color="D8DDE5"/>
          <w:right w:val="single" w:sz="6" w:color="D8DDE5"/>
          <w:insideH w:val="single" w:sz="6" w:color="D8DDE5"/>
          <w:insideV w:val="single" w:sz="6" w:color="D8DDE5"/>
        </w:tblBorders>
      </w:tblPr>
      <w:tblGrid>
        <w:gridCol w:w="5100"/>
        <w:gridCol w:w="5100"/>
      </w:tblGrid>
      <w:tr>
        <w:tc>
          <w:tcPr>
            <w:tcW w:type="dxa" w:w="3061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Période de l'exercice N-1 : du</w:t>
            </w:r>
          </w:p>
        </w:tc>
        <w:tc>
          <w:tcPr>
            <w:tcW w:type="dxa" w:w="6236"/>
          </w:tcPr>
          <w:p>
            <w:pPr>
              <w:spacing w:after="40"/>
            </w:pPr>
          </w:p>
        </w:tc>
      </w:tr>
      <w:tr>
        <w:tc>
          <w:tcPr>
            <w:tcW w:type="dxa" w:w="3061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Période de l'exercice N-2 : du</w:t>
            </w:r>
          </w:p>
        </w:tc>
        <w:tc>
          <w:tcPr>
            <w:tcW w:type="dxa" w:w="6236"/>
          </w:tcPr>
          <w:p>
            <w:pPr>
              <w:spacing w:after="40"/>
            </w:pPr>
          </w:p>
        </w:tc>
      </w:tr>
    </w:tbl>
    <w:tbl>
      <w:tblPr>
        <w:tblW w:type="auto" w:w="0"/>
        <w:tblLook w:firstColumn="1" w:firstRow="1" w:lastColumn="0" w:lastRow="0" w:noHBand="0" w:noVBand="1" w:val="04A0"/>
        <w:tblBorders>
          <w:top w:val="single" w:sz="6" w:color="D8DDE5"/>
          <w:left w:val="single" w:sz="6" w:color="D8DDE5"/>
          <w:bottom w:val="single" w:sz="6" w:color="D8DDE5"/>
          <w:right w:val="single" w:sz="6" w:color="D8DDE5"/>
          <w:insideH w:val="single" w:sz="6" w:color="D8DDE5"/>
          <w:insideV w:val="single" w:sz="6" w:color="D8DDE5"/>
        </w:tblBorders>
      </w:tblPr>
      <w:tblGrid>
        <w:gridCol w:w="3400"/>
        <w:gridCol w:w="3400"/>
        <w:gridCol w:w="3400"/>
      </w:tblGrid>
      <w:tr>
        <w:tc>
          <w:tcPr>
            <w:tcW w:type="dxa" w:w="6463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Charges budget prévisionnel N-1 (charges courantes)</w:t>
            </w:r>
          </w:p>
        </w:tc>
        <w:tc>
          <w:tcPr>
            <w:tcW w:type="dxa" w:w="2721"/>
            <w:vAlign w:val="center"/>
          </w:tcPr>
          <w:p/>
        </w:tc>
        <w:tc>
          <w:tcPr>
            <w:tcW w:type="dxa" w:w="680"/>
            <w:vAlign w:val="center"/>
          </w:tcPr>
          <w:p>
            <w:pPr>
              <w:jc w:val="center"/>
            </w:pPr>
            <w:r>
              <w:rPr>
                <w:rFonts w:ascii="Arial" w:hAnsi="Arial"/>
                <w:b w:val="0"/>
                <w:i w:val="0"/>
                <w:color w:val="8A94A6"/>
                <w:sz w:val="18"/>
              </w:rPr>
              <w:t>€</w:t>
            </w:r>
          </w:p>
        </w:tc>
      </w:tr>
      <w:tr>
        <w:tc>
          <w:tcPr>
            <w:tcW w:type="dxa" w:w="6463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Charges hors budget N-1 (travaux, exceptionnelles)</w:t>
            </w:r>
          </w:p>
        </w:tc>
        <w:tc>
          <w:tcPr>
            <w:tcW w:type="dxa" w:w="2721"/>
            <w:vAlign w:val="center"/>
          </w:tcPr>
          <w:p/>
        </w:tc>
        <w:tc>
          <w:tcPr>
            <w:tcW w:type="dxa" w:w="680"/>
            <w:vAlign w:val="center"/>
          </w:tcPr>
          <w:p>
            <w:pPr>
              <w:jc w:val="center"/>
            </w:pPr>
            <w:r>
              <w:rPr>
                <w:rFonts w:ascii="Arial" w:hAnsi="Arial"/>
                <w:b w:val="0"/>
                <w:i w:val="0"/>
                <w:color w:val="8A94A6"/>
                <w:sz w:val="18"/>
              </w:rPr>
              <w:t>€</w:t>
            </w:r>
          </w:p>
        </w:tc>
      </w:tr>
      <w:tr>
        <w:tc>
          <w:tcPr>
            <w:tcW w:type="dxa" w:w="6463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Charges budget prévisionnel N-2 (charges courantes)</w:t>
            </w:r>
          </w:p>
        </w:tc>
        <w:tc>
          <w:tcPr>
            <w:tcW w:type="dxa" w:w="2721"/>
            <w:vAlign w:val="center"/>
          </w:tcPr>
          <w:p/>
        </w:tc>
        <w:tc>
          <w:tcPr>
            <w:tcW w:type="dxa" w:w="680"/>
            <w:vAlign w:val="center"/>
          </w:tcPr>
          <w:p>
            <w:pPr>
              <w:jc w:val="center"/>
            </w:pPr>
            <w:r>
              <w:rPr>
                <w:rFonts w:ascii="Arial" w:hAnsi="Arial"/>
                <w:b w:val="0"/>
                <w:i w:val="0"/>
                <w:color w:val="8A94A6"/>
                <w:sz w:val="18"/>
              </w:rPr>
              <w:t>€</w:t>
            </w:r>
          </w:p>
        </w:tc>
      </w:tr>
      <w:tr>
        <w:tc>
          <w:tcPr>
            <w:tcW w:type="dxa" w:w="6463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Charges hors budget N-2 (travaux, exceptionnelles)</w:t>
            </w:r>
          </w:p>
        </w:tc>
        <w:tc>
          <w:tcPr>
            <w:tcW w:type="dxa" w:w="2721"/>
            <w:vAlign w:val="center"/>
          </w:tcPr>
          <w:p/>
        </w:tc>
        <w:tc>
          <w:tcPr>
            <w:tcW w:type="dxa" w:w="680"/>
            <w:vAlign w:val="center"/>
          </w:tcPr>
          <w:p>
            <w:pPr>
              <w:jc w:val="center"/>
            </w:pPr>
            <w:r>
              <w:rPr>
                <w:rFonts w:ascii="Arial" w:hAnsi="Arial"/>
                <w:b w:val="0"/>
                <w:i w:val="0"/>
                <w:color w:val="8A94A6"/>
                <w:sz w:val="18"/>
              </w:rPr>
              <w:t>€</w:t>
            </w:r>
          </w:p>
        </w:tc>
      </w:tr>
    </w:tbl>
    <w:p>
      <w:pPr>
        <w:spacing w:before="320" w:after="40"/>
      </w:pPr>
      <w:r>
        <w:rPr>
          <w:rFonts w:ascii="Arial" w:hAnsi="Arial"/>
          <w:b/>
          <w:i w:val="0"/>
          <w:color w:val="3B5EE8"/>
          <w:sz w:val="22"/>
        </w:rPr>
        <w:t xml:space="preserve">3.  </w:t>
      </w:r>
      <w:r>
        <w:rPr>
          <w:rFonts w:ascii="Arial" w:hAnsi="Arial"/>
          <w:b/>
          <w:i w:val="0"/>
          <w:color w:val="1A2744"/>
          <w:sz w:val="22"/>
        </w:rPr>
        <w:t>Sommes pouvant rester dues par le vendeur</w:t>
      </w:r>
    </w:p>
    <w:p>
      <w:pPr>
        <w:spacing w:after="120"/>
      </w:pPr>
      <w:r>
        <w:rPr>
          <w:rFonts w:ascii="Arial" w:hAnsi="Arial"/>
          <w:b w:val="0"/>
          <w:i/>
          <w:color w:val="5B6474"/>
          <w:sz w:val="16"/>
        </w:rPr>
        <w:t>Voir le dernier relevé de compte copropriétaire fourni par le syndic.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6" w:color="D8DDE5"/>
          <w:left w:val="single" w:sz="6" w:color="D8DDE5"/>
          <w:bottom w:val="single" w:sz="6" w:color="D8DDE5"/>
          <w:right w:val="single" w:sz="6" w:color="D8DDE5"/>
          <w:insideH w:val="single" w:sz="6" w:color="D8DDE5"/>
          <w:insideV w:val="single" w:sz="6" w:color="D8DDE5"/>
        </w:tblBorders>
      </w:tblPr>
      <w:tblGrid>
        <w:gridCol w:w="3400"/>
        <w:gridCol w:w="3400"/>
        <w:gridCol w:w="3400"/>
      </w:tblGrid>
      <w:tr>
        <w:tc>
          <w:tcPr>
            <w:tcW w:type="dxa" w:w="6463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Avances à reconstituer (avance de trésorerie)</w:t>
            </w:r>
          </w:p>
        </w:tc>
        <w:tc>
          <w:tcPr>
            <w:tcW w:type="dxa" w:w="2721"/>
            <w:vAlign w:val="center"/>
          </w:tcPr>
          <w:p/>
        </w:tc>
        <w:tc>
          <w:tcPr>
            <w:tcW w:type="dxa" w:w="680"/>
            <w:vAlign w:val="center"/>
          </w:tcPr>
          <w:p>
            <w:pPr>
              <w:jc w:val="center"/>
            </w:pPr>
            <w:r>
              <w:rPr>
                <w:rFonts w:ascii="Arial" w:hAnsi="Arial"/>
                <w:b w:val="0"/>
                <w:i w:val="0"/>
                <w:color w:val="8A94A6"/>
                <w:sz w:val="18"/>
              </w:rPr>
              <w:t>€</w:t>
            </w:r>
          </w:p>
        </w:tc>
      </w:tr>
      <w:tr>
        <w:tc>
          <w:tcPr>
            <w:tcW w:type="dxa" w:w="6463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Provisions du budget prévisionnel non encore appelées</w:t>
            </w:r>
          </w:p>
        </w:tc>
        <w:tc>
          <w:tcPr>
            <w:tcW w:type="dxa" w:w="2721"/>
            <w:vAlign w:val="center"/>
          </w:tcPr>
          <w:p/>
        </w:tc>
        <w:tc>
          <w:tcPr>
            <w:tcW w:type="dxa" w:w="680"/>
            <w:vAlign w:val="center"/>
          </w:tcPr>
          <w:p>
            <w:pPr>
              <w:jc w:val="center"/>
            </w:pPr>
            <w:r>
              <w:rPr>
                <w:rFonts w:ascii="Arial" w:hAnsi="Arial"/>
                <w:b w:val="0"/>
                <w:i w:val="0"/>
                <w:color w:val="8A94A6"/>
                <w:sz w:val="18"/>
              </w:rPr>
              <w:t>€</w:t>
            </w:r>
          </w:p>
        </w:tc>
      </w:tr>
      <w:tr>
        <w:tc>
          <w:tcPr>
            <w:tcW w:type="dxa" w:w="6463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Provisions hors budget non encore appelées</w:t>
            </w:r>
          </w:p>
        </w:tc>
        <w:tc>
          <w:tcPr>
            <w:tcW w:type="dxa" w:w="2721"/>
            <w:vAlign w:val="center"/>
          </w:tcPr>
          <w:p/>
        </w:tc>
        <w:tc>
          <w:tcPr>
            <w:tcW w:type="dxa" w:w="680"/>
            <w:vAlign w:val="center"/>
          </w:tcPr>
          <w:p>
            <w:pPr>
              <w:jc w:val="center"/>
            </w:pPr>
            <w:r>
              <w:rPr>
                <w:rFonts w:ascii="Arial" w:hAnsi="Arial"/>
                <w:b w:val="0"/>
                <w:i w:val="0"/>
                <w:color w:val="8A94A6"/>
                <w:sz w:val="18"/>
              </w:rPr>
              <w:t>€</w:t>
            </w:r>
          </w:p>
        </w:tc>
      </w:tr>
      <w:tr>
        <w:tc>
          <w:tcPr>
            <w:tcW w:type="dxa" w:w="6463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Arriérés de charges (impayés du vendeur)</w:t>
            </w:r>
          </w:p>
        </w:tc>
        <w:tc>
          <w:tcPr>
            <w:tcW w:type="dxa" w:w="2721"/>
            <w:vAlign w:val="center"/>
          </w:tcPr>
          <w:p/>
        </w:tc>
        <w:tc>
          <w:tcPr>
            <w:tcW w:type="dxa" w:w="680"/>
            <w:vAlign w:val="center"/>
          </w:tcPr>
          <w:p>
            <w:pPr>
              <w:jc w:val="center"/>
            </w:pPr>
            <w:r>
              <w:rPr>
                <w:rFonts w:ascii="Arial" w:hAnsi="Arial"/>
                <w:b w:val="0"/>
                <w:i w:val="0"/>
                <w:color w:val="8A94A6"/>
                <w:sz w:val="18"/>
              </w:rPr>
              <w:t>€</w:t>
            </w:r>
          </w:p>
        </w:tc>
      </w:tr>
    </w:tbl>
    <w:p>
      <w:pPr>
        <w:spacing w:before="320" w:after="40"/>
      </w:pPr>
      <w:r>
        <w:rPr>
          <w:rFonts w:ascii="Arial" w:hAnsi="Arial"/>
          <w:b/>
          <w:i w:val="0"/>
          <w:color w:val="3B5EE8"/>
          <w:sz w:val="22"/>
        </w:rPr>
        <w:t xml:space="preserve">4.  </w:t>
      </w:r>
      <w:r>
        <w:rPr>
          <w:rFonts w:ascii="Arial" w:hAnsi="Arial"/>
          <w:b/>
          <w:i w:val="0"/>
          <w:color w:val="1A2744"/>
          <w:sz w:val="22"/>
        </w:rPr>
        <w:t>Situation financière de la copropriété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6" w:color="D8DDE5"/>
          <w:left w:val="single" w:sz="6" w:color="D8DDE5"/>
          <w:bottom w:val="single" w:sz="6" w:color="D8DDE5"/>
          <w:right w:val="single" w:sz="6" w:color="D8DDE5"/>
          <w:insideH w:val="single" w:sz="6" w:color="D8DDE5"/>
          <w:insideV w:val="single" w:sz="6" w:color="D8DDE5"/>
        </w:tblBorders>
      </w:tblPr>
      <w:tblGrid>
        <w:gridCol w:w="3400"/>
        <w:gridCol w:w="3400"/>
        <w:gridCol w:w="3400"/>
      </w:tblGrid>
      <w:tr>
        <w:tc>
          <w:tcPr>
            <w:tcW w:type="dxa" w:w="6463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Impayés de charges au sein du syndicat</w:t>
            </w:r>
          </w:p>
        </w:tc>
        <w:tc>
          <w:tcPr>
            <w:tcW w:type="dxa" w:w="2721"/>
            <w:vAlign w:val="center"/>
          </w:tcPr>
          <w:p/>
        </w:tc>
        <w:tc>
          <w:tcPr>
            <w:tcW w:type="dxa" w:w="680"/>
            <w:vAlign w:val="center"/>
          </w:tcPr>
          <w:p>
            <w:pPr>
              <w:jc w:val="center"/>
            </w:pPr>
            <w:r>
              <w:rPr>
                <w:rFonts w:ascii="Arial" w:hAnsi="Arial"/>
                <w:b w:val="0"/>
                <w:i w:val="0"/>
                <w:color w:val="8A94A6"/>
                <w:sz w:val="18"/>
              </w:rPr>
              <w:t>€</w:t>
            </w:r>
          </w:p>
        </w:tc>
      </w:tr>
      <w:tr>
        <w:tc>
          <w:tcPr>
            <w:tcW w:type="dxa" w:w="6463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Dettes du syndicat envers les fournisseurs</w:t>
            </w:r>
          </w:p>
        </w:tc>
        <w:tc>
          <w:tcPr>
            <w:tcW w:type="dxa" w:w="2721"/>
            <w:vAlign w:val="center"/>
          </w:tcPr>
          <w:p/>
        </w:tc>
        <w:tc>
          <w:tcPr>
            <w:tcW w:type="dxa" w:w="680"/>
            <w:vAlign w:val="center"/>
          </w:tcPr>
          <w:p>
            <w:pPr>
              <w:jc w:val="center"/>
            </w:pPr>
            <w:r>
              <w:rPr>
                <w:rFonts w:ascii="Arial" w:hAnsi="Arial"/>
                <w:b w:val="0"/>
                <w:i w:val="0"/>
                <w:color w:val="8A94A6"/>
                <w:sz w:val="18"/>
              </w:rPr>
              <w:t>€</w:t>
            </w:r>
          </w:p>
        </w:tc>
      </w:tr>
    </w:tbl>
    <w:p>
      <w:pPr>
        <w:spacing w:before="320" w:after="40"/>
      </w:pPr>
      <w:r>
        <w:rPr>
          <w:rFonts w:ascii="Arial" w:hAnsi="Arial"/>
          <w:b/>
          <w:i w:val="0"/>
          <w:color w:val="3B5EE8"/>
          <w:sz w:val="22"/>
        </w:rPr>
        <w:t xml:space="preserve">5.  </w:t>
      </w:r>
      <w:r>
        <w:rPr>
          <w:rFonts w:ascii="Arial" w:hAnsi="Arial"/>
          <w:b/>
          <w:i w:val="0"/>
          <w:color w:val="1A2744"/>
          <w:sz w:val="22"/>
        </w:rPr>
        <w:t>Fonds de travaux (loi ALUR)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6" w:color="D8DDE5"/>
          <w:left w:val="single" w:sz="6" w:color="D8DDE5"/>
          <w:bottom w:val="single" w:sz="6" w:color="D8DDE5"/>
          <w:right w:val="single" w:sz="6" w:color="D8DDE5"/>
          <w:insideH w:val="single" w:sz="6" w:color="D8DDE5"/>
          <w:insideV w:val="single" w:sz="6" w:color="D8DDE5"/>
        </w:tblBorders>
      </w:tblPr>
      <w:tblGrid>
        <w:gridCol w:w="3400"/>
        <w:gridCol w:w="3400"/>
        <w:gridCol w:w="3400"/>
      </w:tblGrid>
      <w:tr>
        <w:tc>
          <w:tcPr>
            <w:tcW w:type="dxa" w:w="6463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Montant de la cotisation annuelle au fonds de travaux</w:t>
            </w:r>
          </w:p>
        </w:tc>
        <w:tc>
          <w:tcPr>
            <w:tcW w:type="dxa" w:w="2721"/>
            <w:vAlign w:val="center"/>
          </w:tcPr>
          <w:p/>
        </w:tc>
        <w:tc>
          <w:tcPr>
            <w:tcW w:type="dxa" w:w="680"/>
            <w:vAlign w:val="center"/>
          </w:tcPr>
          <w:p>
            <w:pPr>
              <w:jc w:val="center"/>
            </w:pPr>
            <w:r>
              <w:rPr>
                <w:rFonts w:ascii="Arial" w:hAnsi="Arial"/>
                <w:b w:val="0"/>
                <w:i w:val="0"/>
                <w:color w:val="8A94A6"/>
                <w:sz w:val="18"/>
              </w:rPr>
              <w:t>€</w:t>
            </w:r>
          </w:p>
        </w:tc>
      </w:tr>
      <w:tr>
        <w:tc>
          <w:tcPr>
            <w:tcW w:type="dxa" w:w="6463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Part du fonds de travaux rattachée au lot vendu</w:t>
            </w:r>
          </w:p>
        </w:tc>
        <w:tc>
          <w:tcPr>
            <w:tcW w:type="dxa" w:w="2721"/>
            <w:vAlign w:val="center"/>
          </w:tcPr>
          <w:p/>
        </w:tc>
        <w:tc>
          <w:tcPr>
            <w:tcW w:type="dxa" w:w="680"/>
            <w:vAlign w:val="center"/>
          </w:tcPr>
          <w:p>
            <w:pPr>
              <w:jc w:val="center"/>
            </w:pPr>
            <w:r>
              <w:rPr>
                <w:rFonts w:ascii="Arial" w:hAnsi="Arial"/>
                <w:b w:val="0"/>
                <w:i w:val="0"/>
                <w:color w:val="8A94A6"/>
                <w:sz w:val="18"/>
              </w:rPr>
              <w:t>€</w:t>
            </w:r>
          </w:p>
        </w:tc>
      </w:tr>
    </w:tbl>
    <w:p>
      <w:r>
        <w:br w:type="page"/>
      </w:r>
    </w:p>
    <w:p>
      <w:pPr>
        <w:spacing w:after="200"/>
      </w:pPr>
      <w:r>
        <w:rPr>
          <w:rFonts w:ascii="Arial" w:hAnsi="Arial"/>
          <w:b/>
          <w:i w:val="0"/>
          <w:color w:val="1A2744"/>
          <w:sz w:val="18"/>
        </w:rPr>
        <w:t>PRÉ-ÉTAT DATÉ · MODÈLE À COMPLÉTER</w:t>
      </w:r>
      <w:r>
        <w:rPr>
          <w:rFonts w:ascii="Arial" w:hAnsi="Arial"/>
          <w:b w:val="0"/>
          <w:i w:val="0"/>
          <w:color w:val="8A94A6"/>
          <w:sz w:val="16"/>
        </w:rPr>
        <w:t xml:space="preserve">          Art. L721-2 CCH</w:t>
      </w:r>
    </w:p>
    <w:p>
      <w:pPr>
        <w:spacing w:before="320" w:after="40"/>
      </w:pPr>
      <w:r>
        <w:rPr>
          <w:rFonts w:ascii="Arial" w:hAnsi="Arial"/>
          <w:b/>
          <w:i w:val="0"/>
          <w:color w:val="3B5EE8"/>
          <w:sz w:val="22"/>
        </w:rPr>
        <w:t xml:space="preserve">6.  </w:t>
      </w:r>
      <w:r>
        <w:rPr>
          <w:rFonts w:ascii="Arial" w:hAnsi="Arial"/>
          <w:b/>
          <w:i w:val="0"/>
          <w:color w:val="1A2744"/>
          <w:sz w:val="22"/>
        </w:rPr>
        <w:t>Documents annexés</w:t>
      </w:r>
    </w:p>
    <w:p>
      <w:pPr>
        <w:spacing w:after="120"/>
      </w:pPr>
      <w:r>
        <w:rPr>
          <w:rFonts w:ascii="Arial" w:hAnsi="Arial"/>
          <w:b w:val="0"/>
          <w:i/>
          <w:color w:val="5B6474"/>
          <w:sz w:val="16"/>
        </w:rPr>
        <w:t>Cochez les pièces jointes au présent document (art. L721-2 CCH).</w:t>
      </w:r>
    </w:p>
    <w:p>
      <w:pPr>
        <w:spacing w:after="60"/>
      </w:pPr>
      <w:r>
        <w:rPr>
          <w:rFonts w:ascii="Arial" w:hAnsi="Arial"/>
          <w:b w:val="0"/>
          <w:i w:val="0"/>
          <w:color w:val="5B6474"/>
          <w:sz w:val="22"/>
        </w:rPr>
        <w:t xml:space="preserve">☐   </w:t>
      </w:r>
      <w:r>
        <w:rPr>
          <w:rFonts w:ascii="Arial" w:hAnsi="Arial"/>
          <w:b w:val="0"/>
          <w:i w:val="0"/>
          <w:color w:val="1F2937"/>
          <w:sz w:val="18"/>
        </w:rPr>
        <w:t>Règlement de copropriété et état descriptif de division (+ actes modificatifs)</w:t>
      </w:r>
    </w:p>
    <w:p>
      <w:pPr>
        <w:spacing w:after="60"/>
      </w:pPr>
      <w:r>
        <w:rPr>
          <w:rFonts w:ascii="Arial" w:hAnsi="Arial"/>
          <w:b w:val="0"/>
          <w:i w:val="0"/>
          <w:color w:val="5B6474"/>
          <w:sz w:val="22"/>
        </w:rPr>
        <w:t xml:space="preserve">☐   </w:t>
      </w:r>
      <w:r>
        <w:rPr>
          <w:rFonts w:ascii="Arial" w:hAnsi="Arial"/>
          <w:b w:val="0"/>
          <w:i w:val="0"/>
          <w:color w:val="1F2937"/>
          <w:sz w:val="18"/>
        </w:rPr>
        <w:t>Procès-verbaux des assemblées générales des 3 dernières années</w:t>
      </w:r>
    </w:p>
    <w:p>
      <w:pPr>
        <w:spacing w:after="60"/>
      </w:pPr>
      <w:r>
        <w:rPr>
          <w:rFonts w:ascii="Arial" w:hAnsi="Arial"/>
          <w:b w:val="0"/>
          <w:i w:val="0"/>
          <w:color w:val="5B6474"/>
          <w:sz w:val="22"/>
        </w:rPr>
        <w:t xml:space="preserve">☐   </w:t>
      </w:r>
      <w:r>
        <w:rPr>
          <w:rFonts w:ascii="Arial" w:hAnsi="Arial"/>
          <w:b w:val="0"/>
          <w:i w:val="0"/>
          <w:color w:val="1F2937"/>
          <w:sz w:val="18"/>
        </w:rPr>
        <w:t>Carnet d'entretien de l'immeuble</w:t>
      </w:r>
    </w:p>
    <w:p>
      <w:pPr>
        <w:spacing w:after="60"/>
      </w:pPr>
      <w:r>
        <w:rPr>
          <w:rFonts w:ascii="Arial" w:hAnsi="Arial"/>
          <w:b w:val="0"/>
          <w:i w:val="0"/>
          <w:color w:val="5B6474"/>
          <w:sz w:val="22"/>
        </w:rPr>
        <w:t xml:space="preserve">☐   </w:t>
      </w:r>
      <w:r>
        <w:rPr>
          <w:rFonts w:ascii="Arial" w:hAnsi="Arial"/>
          <w:b w:val="0"/>
          <w:i w:val="0"/>
          <w:color w:val="1F2937"/>
          <w:sz w:val="18"/>
        </w:rPr>
        <w:t>Montant des charges courantes et hors budget des 2 derniers exercices</w:t>
      </w:r>
    </w:p>
    <w:p>
      <w:pPr>
        <w:spacing w:after="60"/>
      </w:pPr>
      <w:r>
        <w:rPr>
          <w:rFonts w:ascii="Arial" w:hAnsi="Arial"/>
          <w:b w:val="0"/>
          <w:i w:val="0"/>
          <w:color w:val="5B6474"/>
          <w:sz w:val="22"/>
        </w:rPr>
        <w:t xml:space="preserve">☐   </w:t>
      </w:r>
      <w:r>
        <w:rPr>
          <w:rFonts w:ascii="Arial" w:hAnsi="Arial"/>
          <w:b w:val="0"/>
          <w:i w:val="0"/>
          <w:color w:val="1F2937"/>
          <w:sz w:val="18"/>
        </w:rPr>
        <w:t>Sommes pouvant rester dues au syndicat par le vendeur</w:t>
      </w:r>
    </w:p>
    <w:p>
      <w:pPr>
        <w:spacing w:after="60"/>
      </w:pPr>
      <w:r>
        <w:rPr>
          <w:rFonts w:ascii="Arial" w:hAnsi="Arial"/>
          <w:b w:val="0"/>
          <w:i w:val="0"/>
          <w:color w:val="5B6474"/>
          <w:sz w:val="22"/>
        </w:rPr>
        <w:t xml:space="preserve">☐   </w:t>
      </w:r>
      <w:r>
        <w:rPr>
          <w:rFonts w:ascii="Arial" w:hAnsi="Arial"/>
          <w:b w:val="0"/>
          <w:i w:val="0"/>
          <w:color w:val="1F2937"/>
          <w:sz w:val="18"/>
        </w:rPr>
        <w:t>État global des impayés de charges et dettes envers les fournisseurs</w:t>
      </w:r>
    </w:p>
    <w:p>
      <w:pPr>
        <w:spacing w:after="60"/>
      </w:pPr>
      <w:r>
        <w:rPr>
          <w:rFonts w:ascii="Arial" w:hAnsi="Arial"/>
          <w:b w:val="0"/>
          <w:i w:val="0"/>
          <w:color w:val="5B6474"/>
          <w:sz w:val="22"/>
        </w:rPr>
        <w:t xml:space="preserve">☐   </w:t>
      </w:r>
      <w:r>
        <w:rPr>
          <w:rFonts w:ascii="Arial" w:hAnsi="Arial"/>
          <w:b w:val="0"/>
          <w:i w:val="0"/>
          <w:color w:val="1F2937"/>
          <w:sz w:val="18"/>
        </w:rPr>
        <w:t>Diagnostic technique global (DTG) s'il existe</w:t>
      </w:r>
    </w:p>
    <w:p>
      <w:pPr>
        <w:spacing w:after="60"/>
      </w:pPr>
      <w:r>
        <w:rPr>
          <w:rFonts w:ascii="Arial" w:hAnsi="Arial"/>
          <w:b w:val="0"/>
          <w:i w:val="0"/>
          <w:color w:val="5B6474"/>
          <w:sz w:val="22"/>
        </w:rPr>
        <w:t xml:space="preserve">☐   </w:t>
      </w:r>
      <w:r>
        <w:rPr>
          <w:rFonts w:ascii="Arial" w:hAnsi="Arial"/>
          <w:b w:val="0"/>
          <w:i w:val="0"/>
          <w:color w:val="1F2937"/>
          <w:sz w:val="18"/>
        </w:rPr>
        <w:t>Fiche synthétique de la copropriété</w:t>
      </w:r>
    </w:p>
    <w:p>
      <w:pPr>
        <w:spacing w:after="60"/>
      </w:pPr>
      <w:r>
        <w:rPr>
          <w:rFonts w:ascii="Arial" w:hAnsi="Arial"/>
          <w:b w:val="0"/>
          <w:i w:val="0"/>
          <w:color w:val="5B6474"/>
          <w:sz w:val="22"/>
        </w:rPr>
        <w:t xml:space="preserve">☐   </w:t>
      </w:r>
      <w:r>
        <w:rPr>
          <w:rFonts w:ascii="Arial" w:hAnsi="Arial"/>
          <w:b w:val="0"/>
          <w:i w:val="0"/>
          <w:color w:val="1F2937"/>
          <w:sz w:val="18"/>
        </w:rPr>
        <w:t>Notice d'information sur les droits et obligations des copropriétaires</w:t>
      </w:r>
    </w:p>
    <w:p>
      <w:pPr>
        <w:spacing w:before="320" w:after="40"/>
      </w:pPr>
      <w:r>
        <w:rPr>
          <w:rFonts w:ascii="Arial" w:hAnsi="Arial"/>
          <w:b/>
          <w:i w:val="0"/>
          <w:color w:val="3B5EE8"/>
          <w:sz w:val="22"/>
        </w:rPr>
        <w:t xml:space="preserve">7.  </w:t>
      </w:r>
      <w:r>
        <w:rPr>
          <w:rFonts w:ascii="Arial" w:hAnsi="Arial"/>
          <w:b/>
          <w:i w:val="0"/>
          <w:color w:val="1A2744"/>
          <w:sz w:val="22"/>
        </w:rPr>
        <w:t>Signature</w:t>
      </w:r>
    </w:p>
    <w:p>
      <w:pPr>
        <w:spacing w:after="120"/>
      </w:pPr>
      <w:r>
        <w:rPr>
          <w:rFonts w:ascii="Arial" w:hAnsi="Arial"/>
          <w:b w:val="0"/>
          <w:i/>
          <w:color w:val="5B6474"/>
          <w:sz w:val="16"/>
        </w:rPr>
        <w:t>Le vendeur atteste de l'exactitude des informations reportées ci-dessus.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6" w:color="D8DDE5"/>
          <w:left w:val="single" w:sz="6" w:color="D8DDE5"/>
          <w:bottom w:val="single" w:sz="6" w:color="D8DDE5"/>
          <w:right w:val="single" w:sz="6" w:color="D8DDE5"/>
          <w:insideH w:val="single" w:sz="6" w:color="D8DDE5"/>
          <w:insideV w:val="single" w:sz="6" w:color="D8DDE5"/>
        </w:tblBorders>
      </w:tblPr>
      <w:tblGrid>
        <w:gridCol w:w="5100"/>
        <w:gridCol w:w="5100"/>
      </w:tblGrid>
      <w:tr>
        <w:tc>
          <w:tcPr>
            <w:tcW w:type="dxa" w:w="2381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Fait à :</w:t>
            </w:r>
          </w:p>
        </w:tc>
        <w:tc>
          <w:tcPr>
            <w:tcW w:type="dxa" w:w="6236"/>
          </w:tcPr>
          <w:p>
            <w:pPr>
              <w:spacing w:after="40"/>
            </w:pPr>
          </w:p>
        </w:tc>
      </w:tr>
      <w:tr>
        <w:tc>
          <w:tcPr>
            <w:tcW w:type="dxa" w:w="2381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Le :</w:t>
            </w:r>
          </w:p>
        </w:tc>
        <w:tc>
          <w:tcPr>
            <w:tcW w:type="dxa" w:w="6236"/>
          </w:tcPr>
          <w:p>
            <w:pPr>
              <w:spacing w:after="40"/>
            </w:pPr>
          </w:p>
        </w:tc>
      </w:tr>
      <w:tr>
        <w:tc>
          <w:tcPr>
            <w:tcW w:type="dxa" w:w="2381"/>
            <w:vAlign w:val="center"/>
            <w:shd w:val="clear" w:fill="F7F8F9"/>
          </w:tcPr>
          <w:p>
            <w:r>
              <w:rPr>
                <w:rFonts w:ascii="Arial" w:hAnsi="Arial"/>
                <w:b w:val="0"/>
                <w:i w:val="0"/>
                <w:color w:val="1F2937"/>
                <w:sz w:val="18"/>
              </w:rPr>
              <w:t>Signature du vendeur :</w:t>
            </w:r>
          </w:p>
        </w:tc>
        <w:tc>
          <w:tcPr>
            <w:tcW w:type="dxa" w:w="6236"/>
          </w:tcPr>
          <w:p>
            <w:pPr>
              <w:spacing w:after="40"/>
            </w:pPr>
          </w:p>
        </w:tc>
      </w:tr>
    </w:tbl>
    <w:p/>
    <w:tbl>
      <w:tblPr>
        <w:tblW w:type="auto" w:w="0"/>
        <w:tblLook w:firstColumn="1" w:firstRow="1" w:lastColumn="0" w:lastRow="0" w:noHBand="0" w:noVBand="1" w:val="04A0"/>
      </w:tblPr>
      <w:tblGrid>
        <w:gridCol w:w="10200"/>
      </w:tblGrid>
      <w:tr>
        <w:tc>
          <w:tcPr>
            <w:tcW w:type="dxa" w:w="10200"/>
            <w:shd w:val="clear" w:fill="EEF2FF"/>
          </w:tcPr>
          <w:p>
            <w:pPr>
              <w:spacing w:before="120"/>
            </w:pPr>
            <w:r>
              <w:rPr>
                <w:rFonts w:ascii="Arial" w:hAnsi="Arial"/>
                <w:b/>
                <w:i w:val="0"/>
                <w:color w:val="1A2744"/>
                <w:sz w:val="19"/>
              </w:rPr>
              <w:t>Pas le temps de le remplir vous-même ?</w:t>
            </w:r>
          </w:p>
          <w:p>
            <w:pPr>
              <w:spacing w:after="120"/>
            </w:pPr>
            <w:r>
              <w:rPr>
                <w:rFonts w:ascii="Arial" w:hAnsi="Arial"/>
                <w:b w:val="0"/>
                <w:i w:val="0"/>
                <w:color w:val="5B6474"/>
                <w:sz w:val="17"/>
              </w:rPr>
              <w:t>Datimmo extrait ces informations de vos documents de copropriété et génère votre pré-état daté vérifié, dès 29,99 € TTC, livré sous 1 à 5 jours ouvrés · datimmo.net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1020" w:right="1020" w:bottom="102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b w:val="0"/>
        <w:i w:val="0"/>
        <w:color w:val="8A94A6"/>
        <w:sz w:val="15"/>
      </w:rPr>
      <w:t>Modèle gratuit proposé par Datimmo · datimmo.net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Modèle de pré-état daté à compléter</dc:title>
  <dc:subject>Modèle vierge de pré-état daté, article L721-2 du code de la construction et de l'habitation</dc:subject>
  <dc:creator>Datimmo</dc:creator>
  <cp:keywords/>
  <dc:description>Modèle gratuit proposé par Datimmo · datimmo.net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